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A7" w:rsidRPr="00843FA7" w:rsidRDefault="00843FA7" w:rsidP="00843FA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it-IT"/>
        </w:rPr>
      </w:pPr>
      <w:r w:rsidRPr="00843FA7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it-IT"/>
        </w:rPr>
        <w:t>Si può ridurre al minimo l’uso della soia nelle razioni dei ruminanti? Forse sì!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Questo è ciò che afferma il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 xml:space="preserve">Dr. Giulio Gabaldo DVM, </w:t>
      </w:r>
      <w:proofErr w:type="spellStart"/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PhD</w:t>
      </w:r>
      <w:proofErr w:type="spellEnd"/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 xml:space="preserve"> di Villafranca di Verona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. Com’è noto, le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 frazioni proteiche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soprattutto nei ruminanti, vengono utilizzate a livello immunitario, enzimatico ed ormonale e svolgono un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ruolo cruciale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nella corretta crescita muscolare, nello sviluppo fetale, nella fertilità e soprattutto nella produzione di latte. Quasi tutti gli esperti di nutrizione animale ritengono che la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fluttuazione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dei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prezzi della soia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sia giustificata dall’aumento generale delle materie prime dovuto ai conflitti in corso o a condizioni meteorologiche avverse come la siccità o altri fattori di mercato. Pertanto, l’aumento del prezzo della soia viene accettato con la convinzione o la speranza che prima o poi diminuirà. Purtroppo, nel caso della soia, il prezzo tende a restare fluttuante poiché il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 competitor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, oltre ad altre specie animali come volatili e suini, è anche il mercato degli alimenti destinati al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consumo umano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e sappiamo bene che questo tipo di mercato è in grado di sostenere un costo molto più elevato rispetto a quello dell’allevamento del bestiame.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L’uso dell’urea nell’alimentazione dei ruminanti adulti è abbastanza diffuso negli allevamenti, proprio per la sua capacità di influenzare positivamente la popolazione microbica con la produzione di proteine microbiche. Esiste però un’importante limitazione relativa alle quantità somministrabili: dosi superiori a 100/150 g/capo/giorno sono considerate pericolose e come limite estremo di tossicità. Infatti, il processo di </w:t>
      </w:r>
      <w:proofErr w:type="spellStart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idrolizzazione</w:t>
      </w:r>
      <w:proofErr w:type="spellEnd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 dell’urea che libera ammonio (non tossico) e ammoniaca (tossica), avviene in modo molto rapido tanto che l’eccessiva produzione di ammoniaca non riesce ad essere smaltita attraverso il fegato e riciclata dalla saliva, soprattutto se utilizzata per un lungo tempo.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Il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Dr. Giulio Gabaldo, Medico Veterinario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, è specialista nello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sviluppo di nuove tecnologie nel campo della nutrizione animale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 ed opera da oltre cinquant’anni in Italia, in gran parte d’Europa e talvolta nel continente latino-americano come Esperto di Patologie e Tecnologie della Nutrizione Animale. Come Nutrizionista ha operato direttamente nelle aziende agricole e nel settore zootecnico (mangimi, </w:t>
      </w:r>
      <w:proofErr w:type="spellStart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premiscele</w:t>
      </w:r>
      <w:proofErr w:type="spellEnd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 e prodotti farmaceutici, ecc.), progettando nuove soluzioni tecnologiche naturali. In qualità di specialista nel settore dei ruminanti,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sembra abbia trovato una soluzione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La sua strategia nasce dall’osservazione e dallo studio del lento meccanismo di demolizione metabolica dell’urea che avviene nel terreno, con l’obbiettivo di replicarlo a livello ruminale nei ruminanti attraverso un processo termo-microbiologico.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Nello specifico, il suo ultimo e recente lavoro consiste nella realizzazione del processo BREVETTATO denominato PROTI-NAT® PROCESS (Brevetto IT – N. 102022000014 – Brevetto Internazionale PCT/IB2023/056515 – (DISPONIBILE PER LA VENDITA) il quale,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 xml:space="preserve">rallentando il processo di </w:t>
      </w:r>
      <w:proofErr w:type="spellStart"/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idrolizzazione</w:t>
      </w:r>
      <w:proofErr w:type="spellEnd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, permette di ottenere un prodotto che racchiude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tutti valori dell’urea agricola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(46% NPN), senza che il suo utilizzo causi effetti avversi negli animali trattati.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Questo prodotto che tra l’altro permette di affrancarsi dalle fluttuazioni del prezzo della soia, contiene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urea a rilascio lento e a bassa tossicità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L’obiettivo di questa straordinaria e rivoluzionaria innovazione è quello di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ottenere proteine essenziali per la crescita degli animali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, prodotte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 xml:space="preserve">dalla frazione ammoniacale nel 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lastRenderedPageBreak/>
        <w:t>rumine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utilizzando urea agricola al 46% di NPN opportunamente trattata con il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 xml:space="preserve">metodo Proti-NAT® </w:t>
      </w:r>
      <w:proofErr w:type="spellStart"/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Process</w:t>
      </w:r>
      <w:proofErr w:type="spellEnd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, offrendo così la possibilità di ridurre di molto l’impiego della soia dalla razione dei ruminanti. Altra importante considerazione, è la lenta solubilità (idrolisi) dell’urea trattata che nella dieta permette la degradazione nel rumine anche di foraggi grossolani poveri, paglierini, di bassa qualità e/o legnosi, e di “agganciare” l’azoto prodotto dall’urea stessa ai carboidrati complessi.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Altro importante risultato derivato dall’utilizzo dell’urea trattata con il metodo PROTI-NAT® </w:t>
      </w:r>
      <w:proofErr w:type="spellStart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Process</w:t>
      </w:r>
      <w:proofErr w:type="spellEnd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 consiste nella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maggiore efficienza proteica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 e nella </w:t>
      </w:r>
      <w:r w:rsidRPr="00843FA7">
        <w:rPr>
          <w:rFonts w:ascii="var(--awb-text-font-family)" w:eastAsia="Times New Roman" w:hAnsi="var(--awb-text-font-family)" w:cs="Arial"/>
          <w:b/>
          <w:bCs/>
          <w:color w:val="000000"/>
          <w:sz w:val="24"/>
          <w:szCs w:val="24"/>
          <w:lang w:eastAsia="it-IT"/>
        </w:rPr>
        <w:t>riduzione delle emissioni di gas serra</w:t>
      </w:r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 xml:space="preserve"> (GHG) almeno del 20÷30% (ultimi studi americani sull’utilizzo dell’urea). Per validare i risultati ottenuti con l’utilizzo dell’urea trattata con il metodo Proti-NAT® </w:t>
      </w:r>
      <w:proofErr w:type="spellStart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Process</w:t>
      </w:r>
      <w:proofErr w:type="spellEnd"/>
      <w:r w:rsidRPr="00843FA7"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  <w:t>, sono state effettuate sperimentazioni scientifiche in collaborazione con l’Università di Parma e prove zootecniche presso allevamenti. I risultati saranno oggetto di una futura pubblicazione.</w:t>
      </w:r>
    </w:p>
    <w:p w:rsidR="00843FA7" w:rsidRPr="00843FA7" w:rsidRDefault="00843FA7" w:rsidP="00843FA7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000000"/>
          <w:sz w:val="24"/>
          <w:szCs w:val="24"/>
          <w:lang w:eastAsia="it-IT"/>
        </w:rPr>
      </w:pPr>
      <w:r w:rsidRPr="00843FA7">
        <w:rPr>
          <w:rFonts w:ascii="var(--awb-text-font-family)" w:eastAsia="Times New Roman" w:hAnsi="var(--awb-text-font-family)" w:cs="Arial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156960" cy="3764359"/>
            <wp:effectExtent l="0" t="0" r="0" b="7620"/>
            <wp:docPr id="1" name="Immagine 1" descr="https://www.ruminantia.it/wp-content/uploads/2024/11/Immagin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minantia.it/wp-content/uploads/2024/11/Immagin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228" cy="37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A7" w:rsidRPr="00843FA7" w:rsidRDefault="00843FA7" w:rsidP="00843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843FA7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 </w:t>
      </w:r>
      <w:hyperlink r:id="rId6" w:tooltip="Articoli scritti da Giulio Gabaldo" w:history="1">
        <w:r w:rsidRPr="00843FA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it-IT"/>
          </w:rPr>
          <w:t>Giulio Gabaldo</w:t>
        </w:r>
      </w:hyperlink>
      <w:r w:rsidRPr="00843FA7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|11 Novembre 2024</w:t>
      </w:r>
    </w:p>
    <w:p w:rsidR="00A66977" w:rsidRDefault="00A66977">
      <w:bookmarkStart w:id="0" w:name="_GoBack"/>
      <w:bookmarkEnd w:id="0"/>
    </w:p>
    <w:sectPr w:rsidR="00A66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A7"/>
    <w:rsid w:val="00843FA7"/>
    <w:rsid w:val="00A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F9B6"/>
  <w15:chartTrackingRefBased/>
  <w15:docId w15:val="{FFB4915E-005C-4A35-AB21-DCF5679F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43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43FA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4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3FA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43FA7"/>
    <w:rPr>
      <w:color w:val="0000FF"/>
      <w:u w:val="single"/>
    </w:rPr>
  </w:style>
  <w:style w:type="character" w:customStyle="1" w:styleId="fusion-inline-sep">
    <w:name w:val="fusion-inline-sep"/>
    <w:basedOn w:val="Carpredefinitoparagrafo"/>
    <w:rsid w:val="0084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639">
                  <w:marLeft w:val="-242"/>
                  <w:marRight w:val="-2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07320">
          <w:marLeft w:val="0"/>
          <w:marRight w:val="0"/>
          <w:marTop w:val="300"/>
          <w:marBottom w:val="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  <w:divsChild>
            <w:div w:id="7601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minantia.it/author/giulio-gabald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ruminantia.it/wp-content/uploads/2024/11/Immagine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2024-12-09T13:11:00Z</dcterms:created>
  <dcterms:modified xsi:type="dcterms:W3CDTF">2024-12-09T13:14:00Z</dcterms:modified>
</cp:coreProperties>
</file>